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Times New Roman" w:eastAsia="仿宋_GB2312" w:cs="Times New Roman"/>
          <w:b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  <w:lang w:val="en-US" w:eastAsia="zh-CN"/>
        </w:rPr>
        <w:t>2022年度中国化工物流管理优秀案例</w:t>
      </w:r>
      <w:r>
        <w:rPr>
          <w:rFonts w:hint="eastAsia"/>
          <w:b/>
          <w:bCs/>
          <w:sz w:val="36"/>
          <w:szCs w:val="40"/>
        </w:rPr>
        <w:t>申报表</w:t>
      </w:r>
    </w:p>
    <w:p/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944"/>
        <w:gridCol w:w="1217"/>
        <w:gridCol w:w="1560"/>
        <w:gridCol w:w="873"/>
        <w:gridCol w:w="24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4128" w:type="pct"/>
            <w:gridSpan w:val="5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实施单位</w:t>
            </w:r>
          </w:p>
        </w:tc>
        <w:tc>
          <w:tcPr>
            <w:tcW w:w="4128" w:type="pct"/>
            <w:gridSpan w:val="5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4128" w:type="pct"/>
            <w:gridSpan w:val="5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申报人</w:t>
            </w:r>
          </w:p>
        </w:tc>
        <w:tc>
          <w:tcPr>
            <w:tcW w:w="554" w:type="pct"/>
            <w:vAlign w:val="center"/>
          </w:tcPr>
          <w:p>
            <w:pPr>
              <w:jc w:val="both"/>
            </w:pPr>
          </w:p>
        </w:tc>
        <w:tc>
          <w:tcPr>
            <w:tcW w:w="71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部门</w:t>
            </w: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512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电话</w:t>
            </w:r>
          </w:p>
        </w:tc>
        <w:tc>
          <w:tcPr>
            <w:tcW w:w="1432" w:type="pct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职务</w:t>
            </w:r>
          </w:p>
        </w:tc>
        <w:tc>
          <w:tcPr>
            <w:tcW w:w="554" w:type="pct"/>
            <w:vAlign w:val="center"/>
          </w:tcPr>
          <w:p>
            <w:pPr>
              <w:jc w:val="both"/>
            </w:pPr>
          </w:p>
        </w:tc>
        <w:tc>
          <w:tcPr>
            <w:tcW w:w="71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职称</w:t>
            </w: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512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传真</w:t>
            </w:r>
          </w:p>
        </w:tc>
        <w:tc>
          <w:tcPr>
            <w:tcW w:w="1432" w:type="pct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554" w:type="pct"/>
            <w:vAlign w:val="center"/>
          </w:tcPr>
          <w:p>
            <w:pPr>
              <w:jc w:val="both"/>
            </w:pPr>
          </w:p>
        </w:tc>
        <w:tc>
          <w:tcPr>
            <w:tcW w:w="71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512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手机</w:t>
            </w:r>
          </w:p>
        </w:tc>
        <w:tc>
          <w:tcPr>
            <w:tcW w:w="1432" w:type="pct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3" w:type="pct"/>
            <w:gridSpan w:val="3"/>
            <w:vAlign w:val="center"/>
          </w:tcPr>
          <w:p>
            <w:pPr>
              <w:jc w:val="both"/>
            </w:pPr>
          </w:p>
        </w:tc>
        <w:tc>
          <w:tcPr>
            <w:tcW w:w="512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邮编</w:t>
            </w:r>
          </w:p>
        </w:tc>
        <w:tc>
          <w:tcPr>
            <w:tcW w:w="1432" w:type="pct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6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其他参与人情况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单位</w:t>
            </w:r>
          </w:p>
        </w:tc>
        <w:tc>
          <w:tcPr>
            <w:tcW w:w="915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944" w:type="pct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</w:p>
        </w:tc>
        <w:tc>
          <w:tcPr>
            <w:tcW w:w="1268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1944" w:type="pct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</w:p>
        </w:tc>
        <w:tc>
          <w:tcPr>
            <w:tcW w:w="1268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1944" w:type="pct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</w:p>
        </w:tc>
        <w:tc>
          <w:tcPr>
            <w:tcW w:w="1268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1944" w:type="pct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1" w:type="pct"/>
            <w:vAlign w:val="center"/>
          </w:tcPr>
          <w:p>
            <w:pPr>
              <w:jc w:val="both"/>
            </w:pPr>
          </w:p>
        </w:tc>
        <w:tc>
          <w:tcPr>
            <w:tcW w:w="1268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1944" w:type="pct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案例类别</w:t>
            </w:r>
          </w:p>
          <w:p>
            <w:pPr>
              <w:jc w:val="both"/>
            </w:pPr>
            <w:r>
              <w:rPr>
                <w:rFonts w:hint="eastAsia"/>
              </w:rPr>
              <w:t>（请勾选，仅限一项）</w:t>
            </w:r>
          </w:p>
        </w:tc>
        <w:tc>
          <w:tcPr>
            <w:tcW w:w="4128" w:type="pct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企业运营安全管理案例  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供应链创新管理案例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装备技术创新应用案例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社会责任及可持续发展管理案例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低碳绿色管理案例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数智化创新管理案例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其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他__________________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71" w:type="pc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优先主题</w:t>
            </w:r>
          </w:p>
          <w:p>
            <w:pPr>
              <w:jc w:val="both"/>
            </w:pPr>
            <w:r>
              <w:rPr>
                <w:rFonts w:hint="eastAsia"/>
              </w:rPr>
              <w:t>（勾选，可多选）</w:t>
            </w:r>
          </w:p>
        </w:tc>
        <w:tc>
          <w:tcPr>
            <w:tcW w:w="4128" w:type="pct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传统物流模式转型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物流增值服务创新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供应链物流管理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安全管理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高效运营及从业人员管理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智能化及数字化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应急物流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先进装备技术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绿色低碳物流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实施单位基本情况</w:t>
            </w:r>
          </w:p>
        </w:tc>
        <w:tc>
          <w:tcPr>
            <w:tcW w:w="412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（机构、人员、资金等企业规模及实力情况，业务范围、服务对象和地域及近3年主营业务收入、税金和利润等经营状况，发展战略及在业界的地位和影响等）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案例背景</w:t>
            </w:r>
          </w:p>
        </w:tc>
        <w:tc>
          <w:tcPr>
            <w:tcW w:w="412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（案例起因、过程、理念和针对的主要问题等）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案例解决方案要点</w:t>
            </w:r>
          </w:p>
        </w:tc>
        <w:tc>
          <w:tcPr>
            <w:tcW w:w="412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（列举核心内容，详细信息可在案例正文中说明）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案例创新点</w:t>
            </w:r>
          </w:p>
        </w:tc>
        <w:tc>
          <w:tcPr>
            <w:tcW w:w="412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（针对行业普遍性问题，突出本案例最主要的创新点）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应用效果</w:t>
            </w:r>
          </w:p>
        </w:tc>
        <w:tc>
          <w:tcPr>
            <w:tcW w:w="412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（包括经济效益、社会效益和环境效益）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推广价值</w:t>
            </w:r>
          </w:p>
        </w:tc>
        <w:tc>
          <w:tcPr>
            <w:tcW w:w="412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（主要针对行业现状，提出推广借鉴的意义）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实施单位意见</w:t>
            </w:r>
          </w:p>
        </w:tc>
        <w:tc>
          <w:tcPr>
            <w:tcW w:w="4128" w:type="pct"/>
            <w:gridSpan w:val="5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7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外部评价意见</w:t>
            </w:r>
          </w:p>
        </w:tc>
        <w:tc>
          <w:tcPr>
            <w:tcW w:w="4128" w:type="pct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（由政府物流工作牵头部门或行业协会提出）</w:t>
            </w:r>
          </w:p>
          <w:p>
            <w:pPr>
              <w:jc w:val="both"/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 xml:space="preserve"> 日期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NTM0ZTg4MTFlNWMwZDUzNDM2ZjQ2ZDMzNzk3NjkifQ=="/>
  </w:docVars>
  <w:rsids>
    <w:rsidRoot w:val="004901DC"/>
    <w:rsid w:val="0009001D"/>
    <w:rsid w:val="003A4081"/>
    <w:rsid w:val="003E31A6"/>
    <w:rsid w:val="003F4D7B"/>
    <w:rsid w:val="004901DC"/>
    <w:rsid w:val="00810348"/>
    <w:rsid w:val="008C0405"/>
    <w:rsid w:val="00C26977"/>
    <w:rsid w:val="00CB64A3"/>
    <w:rsid w:val="00E9098D"/>
    <w:rsid w:val="00F73C49"/>
    <w:rsid w:val="01233191"/>
    <w:rsid w:val="174C7406"/>
    <w:rsid w:val="1E8E65F9"/>
    <w:rsid w:val="25F56067"/>
    <w:rsid w:val="262255D6"/>
    <w:rsid w:val="307D3D25"/>
    <w:rsid w:val="3BC91D8F"/>
    <w:rsid w:val="403A1B44"/>
    <w:rsid w:val="580526F4"/>
    <w:rsid w:val="5D3F4C3E"/>
    <w:rsid w:val="715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514</Characters>
  <Lines>4</Lines>
  <Paragraphs>1</Paragraphs>
  <TotalTime>11</TotalTime>
  <ScaleCrop>false</ScaleCrop>
  <LinksUpToDate>false</LinksUpToDate>
  <CharactersWithSpaces>594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2021-07-22T03:10:00Z</dcterms:created>
  <dc:creator>DELL</dc:creator>
  <cp:lastModifiedBy>茵特劳斯</cp:lastModifiedBy>
  <dcterms:modified xsi:type="dcterms:W3CDTF">2022-09-14T03:06:23Z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4DA0780B67FB45BF8B918E24CBFA08C6</vt:lpwstr>
  </property>
</Properties>
</file>