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附件2：</w:t>
      </w:r>
      <w:bookmarkStart w:id="0" w:name="_GoBack"/>
      <w:bookmarkEnd w:id="0"/>
    </w:p>
    <w:tbl>
      <w:tblPr>
        <w:tblStyle w:val="3"/>
        <w:tblW w:w="8790" w:type="dxa"/>
        <w:tblInd w:w="-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70"/>
        <w:gridCol w:w="1515"/>
        <w:gridCol w:w="1245"/>
        <w:gridCol w:w="750"/>
        <w:gridCol w:w="720"/>
        <w:gridCol w:w="705"/>
        <w:gridCol w:w="735"/>
        <w:gridCol w:w="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90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重点样本企业（区域）运价体系信息收集表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车型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18T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25T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31T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49T</w:t>
            </w: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车头成本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车辆折旧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车头保险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维修保养费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承运人责任险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车检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 xml:space="preserve">GPS监控 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轮胎费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年里程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人工成本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过路过桥费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管理成本</w:t>
            </w:r>
          </w:p>
        </w:tc>
        <w:tc>
          <w:tcPr>
            <w:tcW w:w="65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□10%    □15%    □20%    □25%</w:t>
            </w:r>
          </w:p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□25%     □30%    □30%以上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吨公里运价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0-50km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FF0000"/>
                <w:kern w:val="0"/>
                <w:sz w:val="18"/>
                <w:szCs w:val="18"/>
              </w:rPr>
              <w:t>请填写预计       年总里程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50-150km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150-300km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300-500km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  <w:t>500km以上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spacing w:line="360" w:lineRule="auto"/>
        <w:ind w:firstLine="210" w:firstLineChars="10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spacing w:line="360" w:lineRule="auto"/>
        <w:ind w:firstLine="240" w:firstLineChars="1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（各区域运价联络人：东北：张栓 15176399772 zs@liot.org.cn；华北：韩冰 13391771329 hb@liot.org.cn；华中：左雷 13164217020 zl@liot.org.cn；华东：蔡执阳 13693513749 czy@liot.org.cn；西南：刘微 13488753037 lw@liot.org.cn；华南：李彦波 15901164868lyb@liot.org.cn；西北：潘海瑞 13693522839 phr@liot.org.cn）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6DA5"/>
    <w:rsid w:val="36C36D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2017-02-27T08:20:00Z</dcterms:created>
  <dc:creator>王廷</dc:creator>
  <cp:lastModifiedBy>王廷</cp:lastModifiedBy>
  <dcterms:modified xsi:type="dcterms:W3CDTF">2017-02-27T08:21:12Z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